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3EB3" w:rsidRDefault="007E0F7B" w:rsidP="00AE64A5">
      <w:pPr>
        <w:pStyle w:val="Heading1"/>
      </w:pPr>
      <w:r>
        <w:t>CPD</w:t>
      </w:r>
      <w:r w:rsidR="00AE64A5">
        <w:t xml:space="preserve"> Policy</w:t>
      </w:r>
    </w:p>
    <w:p w:rsidR="00827F94" w:rsidRDefault="00827F94" w:rsidP="00AE64A5">
      <w:pPr>
        <w:pStyle w:val="Heading2"/>
        <w:rPr>
          <w:rFonts w:ascii="Object Sans" w:hAnsi="Object Sans"/>
          <w:color w:val="000000"/>
          <w:sz w:val="29"/>
        </w:rPr>
      </w:pPr>
      <w:r w:rsidRPr="00827F94">
        <w:rPr>
          <w:lang w:val="en-AU"/>
        </w:rPr>
        <w:t>Cutcher &amp; Neale Financial Services Pty Ltd AFSL No 433814 ABN 22 160 682 879</w:t>
      </w:r>
      <w:r>
        <w:rPr>
          <w:rFonts w:ascii="Object Sans" w:hAnsi="Object Sans"/>
          <w:color w:val="000000"/>
          <w:sz w:val="29"/>
        </w:rPr>
        <w:t xml:space="preserve"> </w:t>
      </w:r>
    </w:p>
    <w:p w:rsidR="00AE64A5" w:rsidRPr="009A2924" w:rsidRDefault="00AE64A5" w:rsidP="00AE64A5">
      <w:pPr>
        <w:pStyle w:val="Heading2"/>
        <w:rPr>
          <w:lang w:val="en-AU"/>
        </w:rPr>
      </w:pPr>
      <w:r w:rsidRPr="009A2924">
        <w:rPr>
          <w:lang w:val="en-AU"/>
        </w:rPr>
        <w:t>(we, us, our)</w:t>
      </w:r>
    </w:p>
    <w:p w:rsidR="00AE64A5" w:rsidRDefault="00AE64A5" w:rsidP="00AE64A5">
      <w:pPr>
        <w:rPr>
          <w:rFonts w:ascii="Gill Sans" w:hAnsi="Gill Sans" w:cs="Gill Sans"/>
          <w:b/>
          <w:color w:val="FF91A4"/>
          <w:sz w:val="20"/>
          <w:szCs w:val="20"/>
          <w:lang w:val="en-AU"/>
        </w:rPr>
      </w:pPr>
    </w:p>
    <w:p w:rsidR="007E0F7B" w:rsidRPr="007E0F7B" w:rsidRDefault="007E0F7B" w:rsidP="007E0F7B">
      <w:pPr>
        <w:pStyle w:val="Heading1"/>
        <w:spacing w:before="120" w:after="120"/>
        <w:rPr>
          <w:rFonts w:ascii="Object Sans" w:hAnsi="Object Sans" w:cs="Gill Sans"/>
          <w:bCs/>
          <w:color w:val="auto"/>
          <w:sz w:val="24"/>
          <w:szCs w:val="24"/>
          <w:lang w:val="en-AU"/>
        </w:rPr>
      </w:pPr>
      <w:r w:rsidRPr="007E0F7B">
        <w:rPr>
          <w:rFonts w:ascii="Object Sans" w:hAnsi="Object Sans" w:cs="Gill Sans"/>
          <w:bCs/>
          <w:color w:val="auto"/>
          <w:sz w:val="24"/>
          <w:szCs w:val="24"/>
          <w:lang w:val="en-AU"/>
        </w:rPr>
        <w:t>Overview</w:t>
      </w:r>
    </w:p>
    <w:p w:rsidR="007E0F7B" w:rsidRPr="007E0F7B" w:rsidRDefault="007E0F7B" w:rsidP="007E0F7B">
      <w:pPr>
        <w:spacing w:before="120" w:after="120"/>
        <w:jc w:val="both"/>
        <w:rPr>
          <w:rFonts w:cs="Gill Sans"/>
          <w:szCs w:val="22"/>
          <w:lang w:val="en-AU"/>
        </w:rPr>
      </w:pPr>
      <w:r w:rsidRPr="007E0F7B">
        <w:rPr>
          <w:rFonts w:cs="Gill Sans"/>
          <w:szCs w:val="22"/>
          <w:lang w:val="en-AU"/>
        </w:rPr>
        <w:t>Continuing Professional Development (</w:t>
      </w:r>
      <w:r w:rsidRPr="007E0F7B">
        <w:rPr>
          <w:rFonts w:cs="Gill Sans"/>
          <w:b/>
          <w:bCs/>
          <w:szCs w:val="22"/>
          <w:lang w:val="en-AU"/>
        </w:rPr>
        <w:t>CPD</w:t>
      </w:r>
      <w:r w:rsidRPr="007E0F7B">
        <w:rPr>
          <w:rFonts w:cs="Gill Sans"/>
          <w:szCs w:val="22"/>
          <w:lang w:val="en-AU"/>
        </w:rPr>
        <w:t xml:space="preserve">) encompasses the wide variety of learning activities undertaken by professionals on an ongoing basis to maintain their technical knowledge and skills and to continually develop such competencies in existing and emerging areas. We consider CPD and the quality of advice and services to be directly correlated. For this reason, CPD plays an important part in our advisers’ professional and personal development within our business.    </w:t>
      </w:r>
    </w:p>
    <w:p w:rsidR="007E0F7B" w:rsidRPr="00872C0A" w:rsidRDefault="007E0F7B" w:rsidP="007E0F7B">
      <w:pPr>
        <w:spacing w:before="120" w:after="120"/>
        <w:jc w:val="both"/>
        <w:rPr>
          <w:rFonts w:cs="Gill Sans"/>
          <w:szCs w:val="22"/>
          <w:lang w:val="en-AU"/>
        </w:rPr>
      </w:pPr>
      <w:r w:rsidRPr="00872C0A">
        <w:rPr>
          <w:rFonts w:cs="Gill Sans"/>
          <w:szCs w:val="22"/>
          <w:lang w:val="en-AU"/>
        </w:rPr>
        <w:t>We are required to have a CPD policy which sets out our processes for ensuring our financial advisers undertake CPD required to comply with the CPD legislative framework and ensure they are providing services to a competent and professional standard.  This policy is published on our website and is also available internally to all staff.</w:t>
      </w:r>
    </w:p>
    <w:p w:rsidR="007E0F7B" w:rsidRPr="008F77F6" w:rsidRDefault="007E0F7B" w:rsidP="007E0F7B">
      <w:pPr>
        <w:pStyle w:val="Heading1"/>
        <w:spacing w:before="120" w:after="120"/>
        <w:rPr>
          <w:rFonts w:ascii="Object Sans" w:hAnsi="Object Sans" w:cs="Gill Sans"/>
          <w:bCs/>
          <w:color w:val="auto"/>
          <w:sz w:val="24"/>
          <w:szCs w:val="24"/>
          <w:lang w:val="en-AU"/>
        </w:rPr>
      </w:pPr>
      <w:r w:rsidRPr="008F77F6">
        <w:rPr>
          <w:rFonts w:ascii="Object Sans" w:hAnsi="Object Sans" w:cs="Gill Sans"/>
          <w:bCs/>
          <w:color w:val="auto"/>
          <w:sz w:val="24"/>
          <w:szCs w:val="24"/>
          <w:lang w:val="en-AU"/>
        </w:rPr>
        <w:t xml:space="preserve">What is the legislative framework? </w:t>
      </w:r>
    </w:p>
    <w:p w:rsidR="007E0F7B" w:rsidRPr="00872C0A" w:rsidRDefault="007E0F7B" w:rsidP="007E0F7B">
      <w:pPr>
        <w:spacing w:before="120" w:after="120"/>
        <w:jc w:val="both"/>
        <w:rPr>
          <w:rFonts w:cs="Gill Sans"/>
          <w:szCs w:val="22"/>
          <w:lang w:val="en-AU"/>
        </w:rPr>
      </w:pPr>
      <w:r w:rsidRPr="00872C0A">
        <w:rPr>
          <w:rFonts w:cs="Gill Sans"/>
          <w:szCs w:val="22"/>
          <w:lang w:val="en-AU"/>
        </w:rPr>
        <w:t xml:space="preserve">CPD requirements </w:t>
      </w:r>
      <w:r w:rsidR="00DC422F">
        <w:rPr>
          <w:rFonts w:cs="Gill Sans"/>
          <w:szCs w:val="22"/>
          <w:lang w:val="en-AU"/>
        </w:rPr>
        <w:t xml:space="preserve">for advisers </w:t>
      </w:r>
      <w:r w:rsidRPr="00872C0A">
        <w:rPr>
          <w:rFonts w:cs="Gill Sans"/>
          <w:szCs w:val="22"/>
          <w:lang w:val="en-AU"/>
        </w:rPr>
        <w:t>are prescribed by the Corporations Act</w:t>
      </w:r>
      <w:r w:rsidR="00A50F9E">
        <w:rPr>
          <w:rFonts w:cs="Gill Sans"/>
          <w:szCs w:val="22"/>
          <w:lang w:val="en-AU"/>
        </w:rPr>
        <w:t xml:space="preserve"> and </w:t>
      </w:r>
      <w:r w:rsidRPr="00872C0A">
        <w:rPr>
          <w:rFonts w:cs="Gill Sans"/>
          <w:szCs w:val="22"/>
          <w:lang w:val="en-AU"/>
        </w:rPr>
        <w:t>the Corporations (Relevant Providers Continuing Professional Development Standard) Determination 2018 (</w:t>
      </w:r>
      <w:r w:rsidRPr="00872C0A">
        <w:rPr>
          <w:rFonts w:cs="Gill Sans"/>
          <w:b/>
          <w:bCs/>
          <w:szCs w:val="22"/>
          <w:lang w:val="en-AU"/>
        </w:rPr>
        <w:t>Determination</w:t>
      </w:r>
      <w:r w:rsidRPr="00872C0A">
        <w:rPr>
          <w:rFonts w:cs="Gill Sans"/>
          <w:szCs w:val="22"/>
          <w:lang w:val="en-AU"/>
        </w:rPr>
        <w:t>)</w:t>
      </w:r>
      <w:r w:rsidR="004C51EA">
        <w:rPr>
          <w:rFonts w:cs="Gill Sans"/>
          <w:szCs w:val="22"/>
          <w:lang w:val="en-AU"/>
        </w:rPr>
        <w:t xml:space="preserve"> and the Corporations</w:t>
      </w:r>
      <w:r w:rsidR="00E92732">
        <w:rPr>
          <w:rFonts w:cs="Gill Sans"/>
          <w:szCs w:val="22"/>
          <w:lang w:val="en-AU"/>
        </w:rPr>
        <w:t xml:space="preserve"> (</w:t>
      </w:r>
      <w:r w:rsidR="005504E3" w:rsidRPr="00872C0A">
        <w:rPr>
          <w:rFonts w:cs="Gill Sans"/>
          <w:szCs w:val="22"/>
          <w:lang w:val="en-AU"/>
        </w:rPr>
        <w:t>Relevant Providers</w:t>
      </w:r>
      <w:r w:rsidR="00527DF4">
        <w:rPr>
          <w:rFonts w:cs="Gill Sans"/>
          <w:szCs w:val="22"/>
          <w:lang w:val="en-AU"/>
        </w:rPr>
        <w:t xml:space="preserve"> – Education and Training Standards</w:t>
      </w:r>
      <w:r w:rsidR="005504E3" w:rsidRPr="00872C0A">
        <w:rPr>
          <w:rFonts w:cs="Gill Sans"/>
          <w:szCs w:val="22"/>
          <w:lang w:val="en-AU"/>
        </w:rPr>
        <w:t>) Determination 20</w:t>
      </w:r>
      <w:r w:rsidR="00E92732">
        <w:rPr>
          <w:rFonts w:cs="Gill Sans"/>
          <w:szCs w:val="22"/>
          <w:lang w:val="en-AU"/>
        </w:rPr>
        <w:t>21 (</w:t>
      </w:r>
      <w:r w:rsidR="00E92732" w:rsidRPr="0026799A">
        <w:rPr>
          <w:rFonts w:cs="Gill Sans"/>
          <w:b/>
          <w:bCs/>
          <w:szCs w:val="22"/>
          <w:lang w:val="en-AU"/>
        </w:rPr>
        <w:t>Tax</w:t>
      </w:r>
      <w:r w:rsidR="002B41F1" w:rsidRPr="0026799A">
        <w:rPr>
          <w:rFonts w:cs="Gill Sans"/>
          <w:b/>
          <w:bCs/>
          <w:szCs w:val="22"/>
          <w:lang w:val="en-AU"/>
        </w:rPr>
        <w:t xml:space="preserve"> </w:t>
      </w:r>
      <w:r w:rsidR="007C18F1">
        <w:rPr>
          <w:rFonts w:cs="Gill Sans"/>
          <w:b/>
          <w:bCs/>
          <w:szCs w:val="22"/>
          <w:lang w:val="en-AU"/>
        </w:rPr>
        <w:t xml:space="preserve">Financial Advice </w:t>
      </w:r>
      <w:r w:rsidR="002B41F1" w:rsidRPr="0026799A">
        <w:rPr>
          <w:rFonts w:cs="Gill Sans"/>
          <w:b/>
          <w:bCs/>
          <w:szCs w:val="22"/>
          <w:lang w:val="en-AU"/>
        </w:rPr>
        <w:t>Determination</w:t>
      </w:r>
      <w:r w:rsidR="002B41F1">
        <w:rPr>
          <w:rFonts w:cs="Gill Sans"/>
          <w:szCs w:val="22"/>
          <w:lang w:val="en-AU"/>
        </w:rPr>
        <w:t>)</w:t>
      </w:r>
      <w:r w:rsidR="008B059B">
        <w:rPr>
          <w:rFonts w:cs="Gill Sans"/>
          <w:szCs w:val="22"/>
          <w:lang w:val="en-AU"/>
        </w:rPr>
        <w:t xml:space="preserve">. </w:t>
      </w:r>
    </w:p>
    <w:p w:rsidR="007E0F7B" w:rsidRPr="00872C0A" w:rsidRDefault="007E0F7B" w:rsidP="007E0F7B">
      <w:pPr>
        <w:spacing w:before="120" w:after="120"/>
        <w:jc w:val="both"/>
        <w:rPr>
          <w:rFonts w:cs="Gill Sans"/>
          <w:szCs w:val="22"/>
          <w:lang w:val="en-AU"/>
        </w:rPr>
      </w:pPr>
      <w:r w:rsidRPr="00872C0A">
        <w:rPr>
          <w:rFonts w:cs="Gill Sans"/>
          <w:szCs w:val="22"/>
          <w:lang w:val="en-AU"/>
        </w:rPr>
        <w:t xml:space="preserve">Advisers are required to undertake CPD every CPD year to improve their knowledge and competencies within broader CPD categories. A minimum number of hours </w:t>
      </w:r>
      <w:proofErr w:type="gramStart"/>
      <w:r w:rsidRPr="00872C0A">
        <w:rPr>
          <w:rFonts w:cs="Gill Sans"/>
          <w:szCs w:val="22"/>
          <w:lang w:val="en-AU"/>
        </w:rPr>
        <w:t>have to</w:t>
      </w:r>
      <w:proofErr w:type="gramEnd"/>
      <w:r w:rsidRPr="00872C0A">
        <w:rPr>
          <w:rFonts w:cs="Gill Sans"/>
          <w:szCs w:val="22"/>
          <w:lang w:val="en-AU"/>
        </w:rPr>
        <w:t xml:space="preserve"> be completed in each CPD category, but the CPD in total must meet the minimum hour requirements for each CPD year. Our CPD year is a </w:t>
      </w:r>
      <w:r w:rsidR="00284B2E">
        <w:rPr>
          <w:rFonts w:cs="Gill Sans"/>
          <w:szCs w:val="22"/>
          <w:lang w:val="en-AU"/>
        </w:rPr>
        <w:t>financial year</w:t>
      </w:r>
      <w:r w:rsidRPr="00872C0A">
        <w:rPr>
          <w:rFonts w:cs="Gill Sans"/>
          <w:szCs w:val="22"/>
          <w:lang w:val="en-AU"/>
        </w:rPr>
        <w:t xml:space="preserve">. </w:t>
      </w:r>
    </w:p>
    <w:p w:rsidR="007E0F7B" w:rsidRPr="00872C0A" w:rsidRDefault="007E0F7B" w:rsidP="007E0F7B">
      <w:pPr>
        <w:spacing w:before="120" w:after="120"/>
        <w:jc w:val="both"/>
        <w:rPr>
          <w:rFonts w:cs="Gill Sans"/>
          <w:szCs w:val="22"/>
          <w:lang w:val="en-AU"/>
        </w:rPr>
      </w:pPr>
      <w:r w:rsidRPr="00872C0A">
        <w:rPr>
          <w:rFonts w:cs="Gill Sans"/>
          <w:szCs w:val="22"/>
          <w:lang w:val="en-AU"/>
        </w:rPr>
        <w:t xml:space="preserve">The CPD categories and respective minimum hours are summarised in the chart below: </w:t>
      </w:r>
    </w:p>
    <w:p w:rsidR="007E0F7B" w:rsidRDefault="007E0F7B" w:rsidP="007E0F7B">
      <w:pPr>
        <w:spacing w:before="120" w:after="120"/>
        <w:ind w:left="284"/>
        <w:rPr>
          <w:rFonts w:ascii="Gill Sans" w:hAnsi="Gill Sans" w:cs="Gill Sans"/>
          <w:szCs w:val="22"/>
          <w:lang w:val="en-AU"/>
        </w:rPr>
      </w:pPr>
      <w:r>
        <w:rPr>
          <w:rFonts w:ascii="Gill Sans" w:hAnsi="Gill Sans" w:cs="Gill Sans"/>
          <w:noProof/>
          <w:szCs w:val="22"/>
          <w:lang w:val="en-AU"/>
        </w:rPr>
        <w:drawing>
          <wp:inline distT="0" distB="0" distL="0" distR="0" wp14:anchorId="1FB52F0E" wp14:editId="04DAE782">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E0F7B" w:rsidRDefault="007E0F7B" w:rsidP="007E0F7B">
      <w:pPr>
        <w:spacing w:before="120" w:after="120"/>
        <w:ind w:left="284"/>
        <w:rPr>
          <w:rFonts w:ascii="Gill Sans" w:hAnsi="Gill Sans" w:cs="Gill Sans"/>
          <w:szCs w:val="22"/>
          <w:lang w:val="en-AU"/>
        </w:rPr>
      </w:pPr>
    </w:p>
    <w:p w:rsidR="007E0F7B" w:rsidRPr="00872C0A" w:rsidRDefault="007E0F7B" w:rsidP="007E0F7B">
      <w:pPr>
        <w:spacing w:before="120" w:after="120"/>
        <w:ind w:left="284"/>
        <w:rPr>
          <w:rFonts w:cs="Gill Sans"/>
          <w:szCs w:val="22"/>
          <w:lang w:val="en-AU"/>
        </w:rPr>
      </w:pPr>
    </w:p>
    <w:p w:rsidR="007E0F7B" w:rsidRDefault="007E0F7B" w:rsidP="007E0F7B">
      <w:pPr>
        <w:spacing w:before="120" w:after="120"/>
        <w:jc w:val="both"/>
        <w:rPr>
          <w:rFonts w:cs="Gill Sans"/>
          <w:szCs w:val="22"/>
          <w:lang w:val="en-AU"/>
        </w:rPr>
      </w:pPr>
      <w:r w:rsidRPr="00872C0A">
        <w:rPr>
          <w:rFonts w:cs="Gill Sans"/>
          <w:szCs w:val="22"/>
          <w:lang w:val="en-AU"/>
        </w:rPr>
        <w:t xml:space="preserve">Full-time advisers are required to complete at least 40 hours of ‘qualifying CPD’ each CPD year and ensure that they have met the minimum hour requirements in each CPD category. Part-time advisers can apply to us to reduce their total CPD load to 36 hours of qualifying CPD, although that is subject to our written approval which we will only provide if we are reasonably satisfied that the reduced load will not compromise the adviser’s skills and competence.  </w:t>
      </w:r>
    </w:p>
    <w:p w:rsidR="007E0F7B" w:rsidRPr="00872C0A" w:rsidRDefault="007E0F7B" w:rsidP="007E0F7B">
      <w:pPr>
        <w:spacing w:before="120" w:after="120"/>
        <w:jc w:val="both"/>
        <w:rPr>
          <w:rFonts w:cs="Gill Sans"/>
          <w:szCs w:val="22"/>
          <w:lang w:val="en-AU"/>
        </w:rPr>
      </w:pPr>
      <w:r w:rsidRPr="00872C0A">
        <w:rPr>
          <w:rFonts w:cs="Gill Sans"/>
          <w:szCs w:val="22"/>
          <w:lang w:val="en-AU"/>
        </w:rPr>
        <w:t xml:space="preserve">What comprises ‘qualifying CPD’ is set out in the Determination. Qualifying CPD must: </w:t>
      </w:r>
    </w:p>
    <w:p w:rsidR="007E0F7B" w:rsidRPr="00872C0A" w:rsidRDefault="007E0F7B" w:rsidP="007E0F7B">
      <w:pPr>
        <w:pStyle w:val="ListParagraph"/>
        <w:numPr>
          <w:ilvl w:val="0"/>
          <w:numId w:val="12"/>
        </w:numPr>
        <w:spacing w:before="120" w:after="120"/>
        <w:ind w:hanging="734"/>
        <w:contextualSpacing w:val="0"/>
        <w:jc w:val="both"/>
        <w:rPr>
          <w:rFonts w:ascii="Object Sans" w:hAnsi="Object Sans" w:cs="Gill Sans"/>
          <w:sz w:val="22"/>
          <w:szCs w:val="22"/>
          <w:lang w:val="en-AU"/>
        </w:rPr>
      </w:pPr>
      <w:r w:rsidRPr="00872C0A">
        <w:rPr>
          <w:rFonts w:ascii="Object Sans" w:hAnsi="Object Sans" w:cs="Gill Sans"/>
          <w:sz w:val="22"/>
          <w:szCs w:val="22"/>
          <w:lang w:val="en-AU"/>
        </w:rPr>
        <w:t xml:space="preserve">be based on content relevant to a CPD category;  </w:t>
      </w:r>
    </w:p>
    <w:p w:rsidR="007E0F7B" w:rsidRPr="00872C0A" w:rsidRDefault="007E0F7B" w:rsidP="007E0F7B">
      <w:pPr>
        <w:pStyle w:val="ListParagraph"/>
        <w:numPr>
          <w:ilvl w:val="0"/>
          <w:numId w:val="12"/>
        </w:numPr>
        <w:spacing w:before="120" w:after="120"/>
        <w:ind w:hanging="734"/>
        <w:contextualSpacing w:val="0"/>
        <w:jc w:val="both"/>
        <w:rPr>
          <w:rFonts w:ascii="Object Sans" w:hAnsi="Object Sans" w:cs="Gill Sans"/>
          <w:sz w:val="22"/>
          <w:szCs w:val="22"/>
          <w:lang w:val="en-AU"/>
        </w:rPr>
      </w:pPr>
      <w:r w:rsidRPr="00872C0A">
        <w:rPr>
          <w:rFonts w:ascii="Object Sans" w:hAnsi="Object Sans" w:cs="Gill Sans"/>
          <w:sz w:val="22"/>
          <w:szCs w:val="22"/>
          <w:lang w:val="en-AU"/>
        </w:rPr>
        <w:t xml:space="preserve">have sufficient intellectual or practical content; </w:t>
      </w:r>
    </w:p>
    <w:p w:rsidR="007E0F7B" w:rsidRPr="00872C0A" w:rsidRDefault="007E0F7B" w:rsidP="007E0F7B">
      <w:pPr>
        <w:pStyle w:val="ListParagraph"/>
        <w:numPr>
          <w:ilvl w:val="0"/>
          <w:numId w:val="12"/>
        </w:numPr>
        <w:spacing w:before="120" w:after="120"/>
        <w:ind w:hanging="734"/>
        <w:contextualSpacing w:val="0"/>
        <w:jc w:val="both"/>
        <w:rPr>
          <w:rFonts w:ascii="Object Sans" w:hAnsi="Object Sans" w:cs="Gill Sans"/>
          <w:sz w:val="22"/>
          <w:szCs w:val="22"/>
          <w:lang w:val="en-AU"/>
        </w:rPr>
      </w:pPr>
      <w:r w:rsidRPr="00872C0A">
        <w:rPr>
          <w:rFonts w:ascii="Object Sans" w:hAnsi="Object Sans" w:cs="Gill Sans"/>
          <w:sz w:val="22"/>
          <w:szCs w:val="22"/>
          <w:lang w:val="en-AU"/>
        </w:rPr>
        <w:t xml:space="preserve">primarily deal with matters related to the provision of financial product advice, financial advice services and financial advice businesses; </w:t>
      </w:r>
    </w:p>
    <w:p w:rsidR="007E0F7B" w:rsidRPr="00872C0A" w:rsidRDefault="007E0F7B" w:rsidP="007E0F7B">
      <w:pPr>
        <w:pStyle w:val="ListParagraph"/>
        <w:numPr>
          <w:ilvl w:val="0"/>
          <w:numId w:val="12"/>
        </w:numPr>
        <w:spacing w:before="120" w:after="120"/>
        <w:ind w:hanging="734"/>
        <w:contextualSpacing w:val="0"/>
        <w:jc w:val="both"/>
        <w:rPr>
          <w:rFonts w:ascii="Object Sans" w:hAnsi="Object Sans" w:cs="Gill Sans"/>
          <w:sz w:val="22"/>
          <w:szCs w:val="22"/>
          <w:lang w:val="en-AU"/>
        </w:rPr>
      </w:pPr>
      <w:r w:rsidRPr="00872C0A">
        <w:rPr>
          <w:rFonts w:ascii="Object Sans" w:hAnsi="Object Sans" w:cs="Gill Sans"/>
          <w:sz w:val="22"/>
          <w:szCs w:val="22"/>
          <w:lang w:val="en-AU"/>
        </w:rPr>
        <w:t xml:space="preserve">be conducted by 1 or more persons who are appropriate and have sufficient standing, expertise, academic qualifications and/or practical experience; and </w:t>
      </w:r>
    </w:p>
    <w:p w:rsidR="007E0F7B" w:rsidRPr="00872C0A" w:rsidRDefault="007E0F7B" w:rsidP="007E0F7B">
      <w:pPr>
        <w:pStyle w:val="ListParagraph"/>
        <w:numPr>
          <w:ilvl w:val="0"/>
          <w:numId w:val="12"/>
        </w:numPr>
        <w:spacing w:before="120" w:after="120"/>
        <w:ind w:hanging="734"/>
        <w:contextualSpacing w:val="0"/>
        <w:jc w:val="both"/>
        <w:rPr>
          <w:rFonts w:ascii="Object Sans" w:hAnsi="Object Sans" w:cs="Gill Sans"/>
          <w:sz w:val="22"/>
          <w:szCs w:val="22"/>
          <w:lang w:val="en-AU"/>
        </w:rPr>
      </w:pPr>
      <w:r w:rsidRPr="00872C0A">
        <w:rPr>
          <w:rFonts w:ascii="Object Sans" w:hAnsi="Object Sans" w:cs="Gill Sans"/>
          <w:sz w:val="22"/>
          <w:szCs w:val="22"/>
          <w:lang w:val="en-AU"/>
        </w:rPr>
        <w:t xml:space="preserve">be designed to enhance advisers’ knowledge and skills in areas that are relevant to the provision of financial product advice and financial advice services. </w:t>
      </w:r>
    </w:p>
    <w:p w:rsidR="007E0F7B" w:rsidRDefault="007E0F7B" w:rsidP="007E0F7B">
      <w:pPr>
        <w:spacing w:before="120" w:after="120"/>
        <w:jc w:val="both"/>
        <w:rPr>
          <w:rFonts w:cs="Gill Sans"/>
          <w:szCs w:val="22"/>
          <w:lang w:val="en-AU"/>
        </w:rPr>
      </w:pPr>
      <w:r w:rsidRPr="00872C0A">
        <w:rPr>
          <w:rFonts w:cs="Gill Sans"/>
          <w:szCs w:val="22"/>
          <w:lang w:val="en-AU"/>
        </w:rPr>
        <w:t xml:space="preserve">70% of the qualifying CPD undertaken by our advisers must be approved by us. Qualifying CPD will usually take the form of courses, presentations or other educational material that meets the criteria set out above. It may also constitute professional or technical reading (maximum of 4 hours) and formal education (maximum of 30 hours).  </w:t>
      </w:r>
    </w:p>
    <w:p w:rsidR="001D096F" w:rsidRPr="00872C0A" w:rsidRDefault="001D096F" w:rsidP="007E0F7B">
      <w:pPr>
        <w:spacing w:before="120" w:after="120"/>
        <w:jc w:val="both"/>
        <w:rPr>
          <w:rFonts w:cs="Gill Sans"/>
          <w:szCs w:val="22"/>
          <w:lang w:val="en-AU"/>
        </w:rPr>
      </w:pPr>
      <w:r>
        <w:rPr>
          <w:rFonts w:cs="Gill Sans"/>
          <w:szCs w:val="22"/>
          <w:lang w:val="en-AU"/>
        </w:rPr>
        <w:t>Advisers who are authorised to provide tax (financial) advice are additionally required to meet the tax specific CPD requirements set out in the Tax Financial Advice Determination. Further, those registered with the Tax Practitioners Board (</w:t>
      </w:r>
      <w:r w:rsidRPr="00BB4AED">
        <w:rPr>
          <w:rFonts w:cs="Gill Sans"/>
          <w:b/>
          <w:bCs/>
          <w:szCs w:val="22"/>
          <w:lang w:val="en-AU"/>
        </w:rPr>
        <w:t>TPB</w:t>
      </w:r>
      <w:r>
        <w:rPr>
          <w:rFonts w:cs="Gill Sans"/>
          <w:szCs w:val="22"/>
          <w:lang w:val="en-AU"/>
        </w:rPr>
        <w:t xml:space="preserve">) </w:t>
      </w:r>
      <w:r w:rsidRPr="00BB4AED">
        <w:rPr>
          <w:rFonts w:cs="Gill Sans"/>
          <w:szCs w:val="22"/>
          <w:lang w:val="en-AU"/>
        </w:rPr>
        <w:t>as</w:t>
      </w:r>
      <w:r>
        <w:rPr>
          <w:rFonts w:cs="Gill Sans"/>
          <w:szCs w:val="22"/>
          <w:lang w:val="en-AU"/>
        </w:rPr>
        <w:t xml:space="preserve"> a tax agent must additionally meet the continuing professional education </w:t>
      </w:r>
      <w:r w:rsidR="008B059B">
        <w:rPr>
          <w:rFonts w:cs="Gill Sans"/>
          <w:szCs w:val="22"/>
          <w:lang w:val="en-AU"/>
        </w:rPr>
        <w:t>(</w:t>
      </w:r>
      <w:r w:rsidR="008B059B" w:rsidRPr="008B059B">
        <w:rPr>
          <w:rFonts w:cs="Gill Sans"/>
          <w:b/>
          <w:bCs/>
          <w:szCs w:val="22"/>
          <w:lang w:val="en-AU"/>
        </w:rPr>
        <w:t>CPE</w:t>
      </w:r>
      <w:r w:rsidR="008B059B">
        <w:rPr>
          <w:rFonts w:cs="Gill Sans"/>
          <w:szCs w:val="22"/>
          <w:lang w:val="en-AU"/>
        </w:rPr>
        <w:t xml:space="preserve">) </w:t>
      </w:r>
      <w:r w:rsidRPr="008B059B">
        <w:rPr>
          <w:rFonts w:cs="Gill Sans"/>
          <w:szCs w:val="22"/>
          <w:lang w:val="en-AU"/>
        </w:rPr>
        <w:t>requirements</w:t>
      </w:r>
      <w:r>
        <w:rPr>
          <w:rFonts w:cs="Gill Sans"/>
          <w:szCs w:val="22"/>
          <w:lang w:val="en-AU"/>
        </w:rPr>
        <w:t xml:space="preserve"> of the TPB.  </w:t>
      </w:r>
    </w:p>
    <w:p w:rsidR="007E0F7B" w:rsidRPr="008F77F6" w:rsidRDefault="007E0F7B" w:rsidP="007E0F7B">
      <w:pPr>
        <w:pStyle w:val="Heading1"/>
        <w:spacing w:before="120" w:after="120"/>
        <w:rPr>
          <w:rFonts w:ascii="Object Sans" w:hAnsi="Object Sans" w:cs="Gill Sans"/>
          <w:bCs/>
          <w:color w:val="auto"/>
          <w:sz w:val="24"/>
          <w:szCs w:val="24"/>
          <w:lang w:val="en-AU"/>
        </w:rPr>
      </w:pPr>
      <w:r w:rsidRPr="008F77F6">
        <w:rPr>
          <w:rFonts w:ascii="Object Sans" w:hAnsi="Object Sans" w:cs="Gill Sans"/>
          <w:bCs/>
          <w:color w:val="auto"/>
          <w:sz w:val="24"/>
          <w:szCs w:val="24"/>
          <w:lang w:val="en-AU"/>
        </w:rPr>
        <w:t xml:space="preserve">How we ensure compliance?  </w:t>
      </w:r>
    </w:p>
    <w:p w:rsidR="007E0F7B" w:rsidRPr="008F77F6" w:rsidRDefault="007E0F7B" w:rsidP="007E0F7B">
      <w:pPr>
        <w:spacing w:before="120" w:after="120"/>
        <w:jc w:val="both"/>
        <w:rPr>
          <w:rFonts w:cs="Gill Sans"/>
          <w:szCs w:val="22"/>
          <w:lang w:val="en-AU"/>
        </w:rPr>
      </w:pPr>
      <w:r w:rsidRPr="008F77F6">
        <w:rPr>
          <w:rFonts w:cs="Gill Sans"/>
          <w:szCs w:val="22"/>
          <w:lang w:val="en-AU"/>
        </w:rPr>
        <w:t xml:space="preserve">It is our responsibility to promote a culture of professional learning and development. Our role in ensuring advisers comply with their CPD obligations can be summarised in four separate components: </w:t>
      </w:r>
    </w:p>
    <w:p w:rsidR="007E0F7B" w:rsidRPr="008F77F6" w:rsidRDefault="007E0F7B" w:rsidP="007E0F7B">
      <w:pPr>
        <w:pStyle w:val="ListParagraph"/>
        <w:numPr>
          <w:ilvl w:val="0"/>
          <w:numId w:val="11"/>
        </w:numPr>
        <w:spacing w:before="120" w:after="120"/>
        <w:ind w:left="450" w:hanging="450"/>
        <w:contextualSpacing w:val="0"/>
        <w:jc w:val="both"/>
        <w:rPr>
          <w:rFonts w:ascii="Object Sans" w:hAnsi="Object Sans" w:cs="Gill Sans"/>
          <w:sz w:val="22"/>
          <w:szCs w:val="22"/>
          <w:lang w:val="en-AU"/>
        </w:rPr>
      </w:pPr>
      <w:r w:rsidRPr="008F77F6">
        <w:rPr>
          <w:rFonts w:ascii="Object Sans" w:hAnsi="Object Sans" w:cs="Gill Sans"/>
          <w:b/>
          <w:bCs/>
          <w:sz w:val="22"/>
          <w:szCs w:val="22"/>
          <w:lang w:val="en-AU"/>
        </w:rPr>
        <w:t>Approving CPD</w:t>
      </w:r>
      <w:r w:rsidRPr="008F77F6">
        <w:rPr>
          <w:rFonts w:ascii="Object Sans" w:hAnsi="Object Sans" w:cs="Gill Sans"/>
          <w:sz w:val="22"/>
          <w:szCs w:val="22"/>
          <w:lang w:val="en-AU"/>
        </w:rPr>
        <w:t xml:space="preserve">. We are responsible for approving activities as qualifying CPD. This requires us to ensure the CPD activity meets the requirements set out above. We will only approve the CPD activity as a qualifying CPD activity for the </w:t>
      </w:r>
      <w:proofErr w:type="gramStart"/>
      <w:r w:rsidRPr="008F77F6">
        <w:rPr>
          <w:rFonts w:ascii="Object Sans" w:hAnsi="Object Sans" w:cs="Gill Sans"/>
          <w:sz w:val="22"/>
          <w:szCs w:val="22"/>
          <w:lang w:val="en-AU"/>
        </w:rPr>
        <w:t>period of time</w:t>
      </w:r>
      <w:proofErr w:type="gramEnd"/>
      <w:r w:rsidRPr="008F77F6">
        <w:rPr>
          <w:rFonts w:ascii="Object Sans" w:hAnsi="Object Sans" w:cs="Gill Sans"/>
          <w:sz w:val="22"/>
          <w:szCs w:val="22"/>
          <w:lang w:val="en-AU"/>
        </w:rPr>
        <w:t xml:space="preserve"> in which the activity meets the requirements. This provides us with flexibility to pro-rate CPD where a portion of it met the requirements, but another portion of it did not. We will maintain a list of CPD which we have approved as a qualifying CPD activity along with the </w:t>
      </w:r>
      <w:proofErr w:type="gramStart"/>
      <w:r w:rsidRPr="008F77F6">
        <w:rPr>
          <w:rFonts w:ascii="Object Sans" w:hAnsi="Object Sans" w:cs="Gill Sans"/>
          <w:sz w:val="22"/>
          <w:szCs w:val="22"/>
          <w:lang w:val="en-AU"/>
        </w:rPr>
        <w:t>time period</w:t>
      </w:r>
      <w:proofErr w:type="gramEnd"/>
      <w:r w:rsidRPr="008F77F6">
        <w:rPr>
          <w:rFonts w:ascii="Object Sans" w:hAnsi="Object Sans" w:cs="Gill Sans"/>
          <w:sz w:val="22"/>
          <w:szCs w:val="22"/>
          <w:lang w:val="en-AU"/>
        </w:rPr>
        <w:t xml:space="preserve"> that can be attributed to that activity. Qualifying CPD may include seminars, presentations (whether provided internally or external) online education courses, conferences and reading material. We are required to approve </w:t>
      </w:r>
      <w:proofErr w:type="gramStart"/>
      <w:r w:rsidRPr="008F77F6">
        <w:rPr>
          <w:rFonts w:ascii="Object Sans" w:hAnsi="Object Sans" w:cs="Gill Sans"/>
          <w:sz w:val="22"/>
          <w:szCs w:val="22"/>
          <w:lang w:val="en-AU"/>
        </w:rPr>
        <w:t>a sufficient number of</w:t>
      </w:r>
      <w:proofErr w:type="gramEnd"/>
      <w:r w:rsidRPr="008F77F6">
        <w:rPr>
          <w:rFonts w:ascii="Object Sans" w:hAnsi="Object Sans" w:cs="Gill Sans"/>
          <w:sz w:val="22"/>
          <w:szCs w:val="22"/>
          <w:lang w:val="en-AU"/>
        </w:rPr>
        <w:t xml:space="preserve"> qualifying CPD activities to enable advisers to meet their CPD requirements. </w:t>
      </w:r>
    </w:p>
    <w:p w:rsidR="007E0F7B" w:rsidRPr="008F77F6" w:rsidRDefault="007E0F7B" w:rsidP="007E0F7B">
      <w:pPr>
        <w:pStyle w:val="ListParagraph"/>
        <w:numPr>
          <w:ilvl w:val="0"/>
          <w:numId w:val="11"/>
        </w:numPr>
        <w:spacing w:before="120" w:after="120"/>
        <w:ind w:left="450" w:hanging="450"/>
        <w:contextualSpacing w:val="0"/>
        <w:jc w:val="both"/>
        <w:rPr>
          <w:rFonts w:ascii="Object Sans" w:hAnsi="Object Sans" w:cs="Gill Sans"/>
          <w:sz w:val="22"/>
          <w:szCs w:val="22"/>
          <w:lang w:val="en-AU"/>
        </w:rPr>
      </w:pPr>
      <w:r w:rsidRPr="008F77F6">
        <w:rPr>
          <w:rFonts w:ascii="Object Sans" w:hAnsi="Object Sans" w:cs="Gill Sans"/>
          <w:b/>
          <w:bCs/>
          <w:sz w:val="22"/>
          <w:szCs w:val="22"/>
          <w:lang w:val="en-AU"/>
        </w:rPr>
        <w:t>Training Plans</w:t>
      </w:r>
      <w:r w:rsidRPr="008F77F6">
        <w:rPr>
          <w:rFonts w:ascii="Object Sans" w:hAnsi="Object Sans" w:cs="Gill Sans"/>
          <w:sz w:val="22"/>
          <w:szCs w:val="22"/>
          <w:lang w:val="en-AU"/>
        </w:rPr>
        <w:t xml:space="preserve">. This is the document that identifies areas where the adviser can improve their competence, knowledge and skills and describes the types of qualifying CPD activities the adviser will complete during the CPD year to achieve those improvements. We will work with the adviser to formulate a training plan which meets these objectives and our overall business strategy. We don’t approve training plans, unless the adviser is returning to work from a career-break. </w:t>
      </w:r>
    </w:p>
    <w:p w:rsidR="007E0F7B" w:rsidRPr="008F77F6" w:rsidRDefault="007E0F7B" w:rsidP="007E0F7B">
      <w:pPr>
        <w:pStyle w:val="ListParagraph"/>
        <w:numPr>
          <w:ilvl w:val="0"/>
          <w:numId w:val="11"/>
        </w:numPr>
        <w:spacing w:before="120" w:after="120"/>
        <w:ind w:left="450" w:hanging="450"/>
        <w:contextualSpacing w:val="0"/>
        <w:jc w:val="both"/>
        <w:rPr>
          <w:rFonts w:ascii="Object Sans" w:hAnsi="Object Sans" w:cs="Gill Sans"/>
          <w:sz w:val="22"/>
          <w:szCs w:val="22"/>
          <w:lang w:val="en-AU"/>
        </w:rPr>
      </w:pPr>
      <w:r w:rsidRPr="008F77F6">
        <w:rPr>
          <w:rFonts w:ascii="Object Sans" w:hAnsi="Object Sans" w:cs="Gill Sans"/>
          <w:b/>
          <w:bCs/>
          <w:sz w:val="22"/>
          <w:szCs w:val="22"/>
          <w:lang w:val="en-AU"/>
        </w:rPr>
        <w:t>Supervision</w:t>
      </w:r>
      <w:r w:rsidRPr="008F77F6">
        <w:rPr>
          <w:rFonts w:ascii="Object Sans" w:hAnsi="Object Sans" w:cs="Gill Sans"/>
          <w:sz w:val="22"/>
          <w:szCs w:val="22"/>
          <w:lang w:val="en-AU"/>
        </w:rPr>
        <w:t xml:space="preserve">. We are responsible for ensuring advisers undertake qualifying CPD they are required to complete in accordance with their training plans. Their progress will be monitored throughout the CPD year, which may be in the form of regular </w:t>
      </w:r>
      <w:proofErr w:type="gramStart"/>
      <w:r w:rsidRPr="008F77F6">
        <w:rPr>
          <w:rFonts w:ascii="Object Sans" w:hAnsi="Object Sans" w:cs="Gill Sans"/>
          <w:sz w:val="22"/>
          <w:szCs w:val="22"/>
          <w:lang w:val="en-AU"/>
        </w:rPr>
        <w:t>catch-ups</w:t>
      </w:r>
      <w:proofErr w:type="gramEnd"/>
      <w:r w:rsidRPr="008F77F6">
        <w:rPr>
          <w:rFonts w:ascii="Object Sans" w:hAnsi="Object Sans" w:cs="Gill Sans"/>
          <w:sz w:val="22"/>
          <w:szCs w:val="22"/>
          <w:lang w:val="en-AU"/>
        </w:rPr>
        <w:t xml:space="preserve"> or reminders. Advisers are responsible for updating our training register promptly upon completing a qualifying CPD activity. </w:t>
      </w:r>
    </w:p>
    <w:p w:rsidR="007E0F7B" w:rsidRPr="008F77F6" w:rsidRDefault="007E0F7B" w:rsidP="007E0F7B">
      <w:pPr>
        <w:pStyle w:val="ListParagraph"/>
        <w:numPr>
          <w:ilvl w:val="0"/>
          <w:numId w:val="11"/>
        </w:numPr>
        <w:spacing w:before="120" w:after="120"/>
        <w:ind w:left="450" w:hanging="450"/>
        <w:contextualSpacing w:val="0"/>
        <w:jc w:val="both"/>
        <w:rPr>
          <w:rFonts w:ascii="Object Sans" w:hAnsi="Object Sans" w:cs="Gill Sans"/>
          <w:sz w:val="22"/>
          <w:szCs w:val="22"/>
          <w:lang w:val="en-AU"/>
        </w:rPr>
      </w:pPr>
      <w:r w:rsidRPr="008F77F6">
        <w:rPr>
          <w:rFonts w:ascii="Object Sans" w:hAnsi="Object Sans" w:cs="Gill Sans"/>
          <w:b/>
          <w:bCs/>
          <w:sz w:val="22"/>
          <w:szCs w:val="22"/>
          <w:lang w:val="en-AU"/>
        </w:rPr>
        <w:t>Compliance with training plans is a key performance indicator for our advisers</w:t>
      </w:r>
      <w:r w:rsidRPr="008F77F6">
        <w:rPr>
          <w:rFonts w:ascii="Object Sans" w:hAnsi="Object Sans" w:cs="Gill Sans"/>
          <w:sz w:val="22"/>
          <w:szCs w:val="22"/>
          <w:lang w:val="en-AU"/>
        </w:rPr>
        <w:t xml:space="preserve">. We will provide them with all the assistance we can reasonably provide to ensure our advisers comply with their training plans. Where an adviser does not comply with their plan, this will affect their performance scorecard and may also lead to us restricting or revoking the adviser’s authority to provide financial advice. We will also comply with our legal obligations with respect to such failure, including reporting it on ASIC’s financial adviser register. </w:t>
      </w:r>
    </w:p>
    <w:p w:rsidR="007E0F7B" w:rsidRPr="008F77F6" w:rsidRDefault="007E0F7B" w:rsidP="007E0F7B">
      <w:pPr>
        <w:pStyle w:val="ListParagraph"/>
        <w:numPr>
          <w:ilvl w:val="0"/>
          <w:numId w:val="11"/>
        </w:numPr>
        <w:spacing w:before="120" w:after="120"/>
        <w:ind w:left="450" w:hanging="450"/>
        <w:contextualSpacing w:val="0"/>
        <w:jc w:val="both"/>
        <w:rPr>
          <w:rFonts w:ascii="Object Sans" w:hAnsi="Object Sans" w:cs="Gill Sans"/>
          <w:sz w:val="22"/>
          <w:szCs w:val="22"/>
          <w:lang w:val="en-AU"/>
        </w:rPr>
      </w:pPr>
      <w:r w:rsidRPr="008F77F6">
        <w:rPr>
          <w:rFonts w:ascii="Object Sans" w:hAnsi="Object Sans" w:cs="Gill Sans"/>
          <w:b/>
          <w:bCs/>
          <w:sz w:val="22"/>
          <w:szCs w:val="22"/>
          <w:lang w:val="en-AU"/>
        </w:rPr>
        <w:t>Career Breaks</w:t>
      </w:r>
      <w:r w:rsidRPr="008F77F6">
        <w:rPr>
          <w:rFonts w:ascii="Object Sans" w:hAnsi="Object Sans" w:cs="Gill Sans"/>
          <w:sz w:val="22"/>
          <w:szCs w:val="22"/>
          <w:lang w:val="en-AU"/>
        </w:rPr>
        <w:t xml:space="preserve">. We are responsible for approving training plans for advisers who are returning to work after a continuous period of absence of least 2 years. These advisers cannot resume practice until we have approved their training plan. Approval of the training plan is at our absolute discretion, but at a minimum, we will need comfort that the training plan is appropriate in addressing all gaps in the adviser’s competence, knowledge and skills which have arisen </w:t>
      </w:r>
      <w:proofErr w:type="gramStart"/>
      <w:r w:rsidRPr="008F77F6">
        <w:rPr>
          <w:rFonts w:ascii="Object Sans" w:hAnsi="Object Sans" w:cs="Gill Sans"/>
          <w:sz w:val="22"/>
          <w:szCs w:val="22"/>
          <w:lang w:val="en-AU"/>
        </w:rPr>
        <w:t>as a result of</w:t>
      </w:r>
      <w:proofErr w:type="gramEnd"/>
      <w:r w:rsidRPr="008F77F6">
        <w:rPr>
          <w:rFonts w:ascii="Object Sans" w:hAnsi="Object Sans" w:cs="Gill Sans"/>
          <w:sz w:val="22"/>
          <w:szCs w:val="22"/>
          <w:lang w:val="en-AU"/>
        </w:rPr>
        <w:t xml:space="preserve"> their absence from practice. </w:t>
      </w:r>
    </w:p>
    <w:p w:rsidR="007E0F7B" w:rsidRPr="003F1028" w:rsidRDefault="007E0F7B" w:rsidP="007E0F7B">
      <w:pPr>
        <w:pStyle w:val="Heading1"/>
        <w:spacing w:before="120" w:after="120"/>
        <w:rPr>
          <w:rFonts w:ascii="Object Sans" w:hAnsi="Object Sans" w:cs="Gill Sans"/>
          <w:bCs/>
          <w:color w:val="auto"/>
          <w:sz w:val="24"/>
          <w:szCs w:val="24"/>
          <w:lang w:val="en-AU"/>
        </w:rPr>
      </w:pPr>
      <w:r w:rsidRPr="003F1028">
        <w:rPr>
          <w:rFonts w:ascii="Object Sans" w:hAnsi="Object Sans" w:cs="Gill Sans"/>
          <w:bCs/>
          <w:color w:val="auto"/>
          <w:sz w:val="24"/>
          <w:szCs w:val="24"/>
          <w:lang w:val="en-AU"/>
        </w:rPr>
        <w:t>Training records</w:t>
      </w:r>
    </w:p>
    <w:p w:rsidR="007E0F7B" w:rsidRPr="003F1028" w:rsidRDefault="007E0F7B" w:rsidP="007E0F7B">
      <w:pPr>
        <w:spacing w:before="120" w:after="120"/>
        <w:jc w:val="both"/>
        <w:rPr>
          <w:rFonts w:cs="Gill Sans"/>
          <w:szCs w:val="22"/>
          <w:lang w:val="en-AU"/>
        </w:rPr>
      </w:pPr>
      <w:r w:rsidRPr="003F1028">
        <w:rPr>
          <w:rFonts w:cs="Gill Sans"/>
          <w:szCs w:val="22"/>
          <w:lang w:val="en-AU"/>
        </w:rPr>
        <w:t xml:space="preserve">Advisers are required to obtain records of qualifying CPD they undertake and must promptly provide those to us so we can substantiate their attendance/completion of CPD. Completion of qualifying CPD will be recorded on the training register, which we maintain for this purpose. We will keep these records for a period of 7 years or as otherwise required by our document retention procedures. </w:t>
      </w:r>
    </w:p>
    <w:p w:rsidR="007E0F7B" w:rsidRPr="003F1028" w:rsidRDefault="007E0F7B" w:rsidP="007E0F7B">
      <w:pPr>
        <w:pStyle w:val="Heading1"/>
        <w:spacing w:before="120" w:after="120"/>
        <w:rPr>
          <w:rFonts w:ascii="Object Sans" w:hAnsi="Object Sans" w:cs="Gill Sans"/>
          <w:bCs/>
          <w:color w:val="auto"/>
          <w:sz w:val="24"/>
          <w:szCs w:val="24"/>
          <w:lang w:val="en-AU"/>
        </w:rPr>
      </w:pPr>
      <w:bookmarkStart w:id="0" w:name="_Toc532999970"/>
      <w:bookmarkStart w:id="1" w:name="_Toc533002647"/>
      <w:r w:rsidRPr="003F1028">
        <w:rPr>
          <w:rFonts w:ascii="Object Sans" w:hAnsi="Object Sans" w:cs="Gill Sans"/>
          <w:bCs/>
          <w:color w:val="auto"/>
          <w:sz w:val="24"/>
          <w:szCs w:val="24"/>
          <w:lang w:val="en-AU"/>
        </w:rPr>
        <w:t>Monitoring</w:t>
      </w:r>
      <w:bookmarkEnd w:id="0"/>
      <w:bookmarkEnd w:id="1"/>
      <w:r w:rsidRPr="003F1028">
        <w:rPr>
          <w:rFonts w:ascii="Object Sans" w:hAnsi="Object Sans" w:cs="Gill Sans"/>
          <w:bCs/>
          <w:color w:val="auto"/>
          <w:sz w:val="24"/>
          <w:szCs w:val="24"/>
          <w:lang w:val="en-AU"/>
        </w:rPr>
        <w:t xml:space="preserve"> and review</w:t>
      </w:r>
    </w:p>
    <w:p w:rsidR="007E0F7B" w:rsidRPr="003F1028" w:rsidRDefault="007E0F7B" w:rsidP="007E0F7B">
      <w:pPr>
        <w:spacing w:before="120" w:after="120"/>
        <w:jc w:val="both"/>
        <w:rPr>
          <w:rFonts w:cs="Gill Sans"/>
          <w:szCs w:val="22"/>
          <w:lang w:val="en-AU"/>
        </w:rPr>
      </w:pPr>
      <w:r w:rsidRPr="003F1028">
        <w:rPr>
          <w:rFonts w:cs="Gill Sans"/>
          <w:szCs w:val="22"/>
          <w:lang w:val="en-AU"/>
        </w:rPr>
        <w:t xml:space="preserve">We will continually monitor the effectiveness of the procedures set out in this policy. We may amend it from time to time by uploading the updated policy to our website. </w:t>
      </w:r>
    </w:p>
    <w:p w:rsidR="007E0F7B" w:rsidRPr="003F1028" w:rsidRDefault="007E0F7B" w:rsidP="003F1028">
      <w:pPr>
        <w:spacing w:before="120" w:after="120"/>
        <w:jc w:val="both"/>
        <w:rPr>
          <w:rFonts w:cs="Gill Sans"/>
          <w:szCs w:val="22"/>
          <w:lang w:val="en-AU"/>
        </w:rPr>
      </w:pPr>
    </w:p>
    <w:sectPr w:rsidR="007E0F7B" w:rsidRPr="003F1028" w:rsidSect="007D4334">
      <w:headerReference w:type="default" r:id="rId12"/>
      <w:pgSz w:w="11900" w:h="16840"/>
      <w:pgMar w:top="1440" w:right="567" w:bottom="144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4068" w:rsidRDefault="00924068" w:rsidP="007D4334">
      <w:r>
        <w:separator/>
      </w:r>
    </w:p>
  </w:endnote>
  <w:endnote w:type="continuationSeparator" w:id="0">
    <w:p w:rsidR="00924068" w:rsidRDefault="00924068" w:rsidP="007D4334">
      <w:r>
        <w:continuationSeparator/>
      </w:r>
    </w:p>
  </w:endnote>
  <w:endnote w:type="continuationNotice" w:id="1">
    <w:p w:rsidR="00924068" w:rsidRDefault="009240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bject Sans">
    <w:altName w:val="Calibri"/>
    <w:panose1 w:val="00000000000000000000"/>
    <w:charset w:val="4D"/>
    <w:family w:val="auto"/>
    <w:notTrueType/>
    <w:pitch w:val="variable"/>
    <w:sig w:usb0="00000207" w:usb1="00000000" w:usb2="00000000" w:usb3="00000000" w:csb0="00000097" w:csb1="00000000"/>
  </w:font>
  <w:font w:name="Object Sans Heavy">
    <w:altName w:val="Calibri"/>
    <w:panose1 w:val="00000000000000000000"/>
    <w:charset w:val="4D"/>
    <w:family w:val="auto"/>
    <w:notTrueType/>
    <w:pitch w:val="variable"/>
    <w:sig w:usb0="00000207" w:usb1="00000000" w:usb2="00000000" w:usb3="00000000" w:csb0="00000097" w:csb1="00000000"/>
  </w:font>
  <w:font w:name="Gill Sans">
    <w:altName w:val="Arial"/>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4068" w:rsidRDefault="00924068" w:rsidP="007D4334">
      <w:r>
        <w:separator/>
      </w:r>
    </w:p>
  </w:footnote>
  <w:footnote w:type="continuationSeparator" w:id="0">
    <w:p w:rsidR="00924068" w:rsidRDefault="00924068" w:rsidP="007D4334">
      <w:r>
        <w:continuationSeparator/>
      </w:r>
    </w:p>
  </w:footnote>
  <w:footnote w:type="continuationNotice" w:id="1">
    <w:p w:rsidR="00924068" w:rsidRDefault="009240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334" w:rsidRPr="0058029E" w:rsidRDefault="0058029E" w:rsidP="0058029E">
    <w:pPr>
      <w:pStyle w:val="Header"/>
      <w:jc w:val="right"/>
    </w:pPr>
    <w:r>
      <w:rPr>
        <w:noProof/>
        <w:color w:val="000000"/>
      </w:rPr>
      <w:drawing>
        <wp:inline distT="0" distB="0" distL="0" distR="0" wp14:anchorId="67B08528" wp14:editId="79F13608">
          <wp:extent cx="789158" cy="270000"/>
          <wp:effectExtent l="0" t="0" r="0" b="0"/>
          <wp:docPr id="3" name="Picture 0"/>
          <wp:cNvGraphicFramePr/>
          <a:graphic xmlns:a="http://schemas.openxmlformats.org/drawingml/2006/main">
            <a:graphicData uri="http://schemas.openxmlformats.org/drawingml/2006/picture">
              <pic:pic xmlns:pic="http://schemas.openxmlformats.org/drawingml/2006/picture">
                <pic:nvPicPr>
                  <pic:cNvPr id="4" name="Picture 0"/>
                  <pic:cNvPicPr/>
                </pic:nvPicPr>
                <pic:blipFill>
                  <a:blip r:embed="rId1"/>
                  <a:srcRect/>
                  <a:stretch>
                    <a:fillRect/>
                  </a:stretch>
                </pic:blipFill>
                <pic:spPr>
                  <a:xfrm>
                    <a:off x="0" y="0"/>
                    <a:ext cx="789158" cy="27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A15F5"/>
    <w:multiLevelType w:val="hybridMultilevel"/>
    <w:tmpl w:val="14984AB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151A4748"/>
    <w:multiLevelType w:val="hybridMultilevel"/>
    <w:tmpl w:val="C506072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408C6C91"/>
    <w:multiLevelType w:val="multilevel"/>
    <w:tmpl w:val="B0C2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851D64"/>
    <w:multiLevelType w:val="multilevel"/>
    <w:tmpl w:val="7D3A8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A25181"/>
    <w:multiLevelType w:val="multilevel"/>
    <w:tmpl w:val="2A8C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C87C13"/>
    <w:multiLevelType w:val="multilevel"/>
    <w:tmpl w:val="92F0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860222"/>
    <w:multiLevelType w:val="multilevel"/>
    <w:tmpl w:val="12AEE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726722"/>
    <w:multiLevelType w:val="multilevel"/>
    <w:tmpl w:val="B1FC9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1A4EB7"/>
    <w:multiLevelType w:val="multilevel"/>
    <w:tmpl w:val="0A083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6F620B"/>
    <w:multiLevelType w:val="hybridMultilevel"/>
    <w:tmpl w:val="17BE32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75B5A67"/>
    <w:multiLevelType w:val="hybridMultilevel"/>
    <w:tmpl w:val="DB7A8C5E"/>
    <w:lvl w:ilvl="0" w:tplc="0C09000F">
      <w:start w:val="1"/>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C49541F"/>
    <w:multiLevelType w:val="multilevel"/>
    <w:tmpl w:val="EC90F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2740776">
    <w:abstractNumId w:val="10"/>
  </w:num>
  <w:num w:numId="2" w16cid:durableId="2103135629">
    <w:abstractNumId w:val="7"/>
  </w:num>
  <w:num w:numId="3" w16cid:durableId="281807249">
    <w:abstractNumId w:val="11"/>
  </w:num>
  <w:num w:numId="4" w16cid:durableId="1089274360">
    <w:abstractNumId w:val="5"/>
  </w:num>
  <w:num w:numId="5" w16cid:durableId="1983659208">
    <w:abstractNumId w:val="6"/>
  </w:num>
  <w:num w:numId="6" w16cid:durableId="2042901576">
    <w:abstractNumId w:val="2"/>
  </w:num>
  <w:num w:numId="7" w16cid:durableId="1733506283">
    <w:abstractNumId w:val="4"/>
  </w:num>
  <w:num w:numId="8" w16cid:durableId="183255400">
    <w:abstractNumId w:val="3"/>
  </w:num>
  <w:num w:numId="9" w16cid:durableId="2020310262">
    <w:abstractNumId w:val="8"/>
  </w:num>
  <w:num w:numId="10" w16cid:durableId="594217678">
    <w:abstractNumId w:val="9"/>
  </w:num>
  <w:num w:numId="11" w16cid:durableId="1674258929">
    <w:abstractNumId w:val="1"/>
  </w:num>
  <w:num w:numId="12" w16cid:durableId="291596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55"/>
    <w:rsid w:val="000003CD"/>
    <w:rsid w:val="00047CAE"/>
    <w:rsid w:val="000A0CA1"/>
    <w:rsid w:val="00103EB3"/>
    <w:rsid w:val="00112857"/>
    <w:rsid w:val="001232E4"/>
    <w:rsid w:val="00127FA3"/>
    <w:rsid w:val="00147ACC"/>
    <w:rsid w:val="001A3A41"/>
    <w:rsid w:val="001D096F"/>
    <w:rsid w:val="00223D95"/>
    <w:rsid w:val="00226314"/>
    <w:rsid w:val="00226679"/>
    <w:rsid w:val="002373D6"/>
    <w:rsid w:val="0025084B"/>
    <w:rsid w:val="0026799A"/>
    <w:rsid w:val="00284B2E"/>
    <w:rsid w:val="002A243C"/>
    <w:rsid w:val="002B18D8"/>
    <w:rsid w:val="002B41F1"/>
    <w:rsid w:val="002D1728"/>
    <w:rsid w:val="00364AEC"/>
    <w:rsid w:val="003C13D8"/>
    <w:rsid w:val="003E4DB1"/>
    <w:rsid w:val="003F1028"/>
    <w:rsid w:val="003F67C4"/>
    <w:rsid w:val="00432234"/>
    <w:rsid w:val="0048501E"/>
    <w:rsid w:val="004A298D"/>
    <w:rsid w:val="004B3D7E"/>
    <w:rsid w:val="004C51EA"/>
    <w:rsid w:val="00527DF4"/>
    <w:rsid w:val="00542DCF"/>
    <w:rsid w:val="005504E3"/>
    <w:rsid w:val="0057412A"/>
    <w:rsid w:val="00575DBD"/>
    <w:rsid w:val="0058029E"/>
    <w:rsid w:val="00580DFA"/>
    <w:rsid w:val="005811D4"/>
    <w:rsid w:val="005928BF"/>
    <w:rsid w:val="005E4B18"/>
    <w:rsid w:val="00612B46"/>
    <w:rsid w:val="006178F0"/>
    <w:rsid w:val="00655E77"/>
    <w:rsid w:val="006727FE"/>
    <w:rsid w:val="007106D8"/>
    <w:rsid w:val="00744F25"/>
    <w:rsid w:val="007C18F1"/>
    <w:rsid w:val="007D0C92"/>
    <w:rsid w:val="007D4334"/>
    <w:rsid w:val="007E0F7B"/>
    <w:rsid w:val="00827F94"/>
    <w:rsid w:val="008457A3"/>
    <w:rsid w:val="00872C0A"/>
    <w:rsid w:val="008A5F9D"/>
    <w:rsid w:val="008B059B"/>
    <w:rsid w:val="008E1242"/>
    <w:rsid w:val="008F77F6"/>
    <w:rsid w:val="00903BB4"/>
    <w:rsid w:val="00924068"/>
    <w:rsid w:val="00926FB1"/>
    <w:rsid w:val="009A2D0C"/>
    <w:rsid w:val="009B298A"/>
    <w:rsid w:val="009E2934"/>
    <w:rsid w:val="009E7047"/>
    <w:rsid w:val="00A4156A"/>
    <w:rsid w:val="00A50D14"/>
    <w:rsid w:val="00A50F9E"/>
    <w:rsid w:val="00AE64A5"/>
    <w:rsid w:val="00AF5128"/>
    <w:rsid w:val="00B45AFC"/>
    <w:rsid w:val="00BB4AED"/>
    <w:rsid w:val="00C429F7"/>
    <w:rsid w:val="00C42C33"/>
    <w:rsid w:val="00C94EA9"/>
    <w:rsid w:val="00C9713F"/>
    <w:rsid w:val="00CA3A3C"/>
    <w:rsid w:val="00D178ED"/>
    <w:rsid w:val="00D26038"/>
    <w:rsid w:val="00D6599E"/>
    <w:rsid w:val="00D82FF9"/>
    <w:rsid w:val="00D84745"/>
    <w:rsid w:val="00DA495F"/>
    <w:rsid w:val="00DC422F"/>
    <w:rsid w:val="00E91075"/>
    <w:rsid w:val="00E92732"/>
    <w:rsid w:val="00E93C2C"/>
    <w:rsid w:val="00ED4E9B"/>
    <w:rsid w:val="00EF4337"/>
    <w:rsid w:val="00F35655"/>
    <w:rsid w:val="00FA1331"/>
    <w:rsid w:val="00FD6C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1E4CE"/>
  <w14:defaultImageDpi w14:val="32767"/>
  <w15:chartTrackingRefBased/>
  <w15:docId w15:val="{ADAC3BE8-6685-BD41-8F0E-2D6A738B2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42DCF"/>
    <w:rPr>
      <w:rFonts w:ascii="Object Sans" w:hAnsi="Object Sans"/>
      <w:sz w:val="22"/>
    </w:rPr>
  </w:style>
  <w:style w:type="paragraph" w:styleId="Heading1">
    <w:name w:val="heading 1"/>
    <w:basedOn w:val="Normal"/>
    <w:next w:val="Normal"/>
    <w:link w:val="Heading1Char"/>
    <w:uiPriority w:val="9"/>
    <w:qFormat/>
    <w:rsid w:val="00542DCF"/>
    <w:pPr>
      <w:keepNext/>
      <w:keepLines/>
      <w:spacing w:before="240"/>
      <w:outlineLvl w:val="0"/>
    </w:pPr>
    <w:rPr>
      <w:rFonts w:ascii="Object Sans Heavy" w:eastAsiaTheme="majorEastAsia" w:hAnsi="Object Sans Heavy" w:cstheme="majorBidi"/>
      <w:b/>
      <w:color w:val="000000" w:themeColor="text1"/>
      <w:sz w:val="28"/>
      <w:szCs w:val="32"/>
    </w:rPr>
  </w:style>
  <w:style w:type="paragraph" w:styleId="Heading2">
    <w:name w:val="heading 2"/>
    <w:basedOn w:val="Normal"/>
    <w:next w:val="Normal"/>
    <w:link w:val="Heading2Char"/>
    <w:uiPriority w:val="9"/>
    <w:unhideWhenUsed/>
    <w:qFormat/>
    <w:rsid w:val="00542DCF"/>
    <w:pPr>
      <w:keepNext/>
      <w:keepLines/>
      <w:spacing w:before="40"/>
      <w:outlineLvl w:val="1"/>
    </w:pPr>
    <w:rPr>
      <w:rFonts w:ascii="Object Sans Heavy" w:eastAsiaTheme="majorEastAsia" w:hAnsi="Object Sans Heavy"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9B298A"/>
    <w:pPr>
      <w:spacing w:before="120"/>
    </w:pPr>
    <w:rPr>
      <w:rFonts w:ascii="Gill Sans" w:hAnsi="Gill Sans"/>
      <w:b/>
      <w:bCs/>
    </w:rPr>
  </w:style>
  <w:style w:type="paragraph" w:styleId="TOC2">
    <w:name w:val="toc 2"/>
    <w:basedOn w:val="Normal"/>
    <w:next w:val="Normal"/>
    <w:autoRedefine/>
    <w:uiPriority w:val="39"/>
    <w:unhideWhenUsed/>
    <w:rsid w:val="009B298A"/>
    <w:pPr>
      <w:ind w:left="220"/>
    </w:pPr>
    <w:rPr>
      <w:rFonts w:ascii="Gill Sans" w:hAnsi="Gill Sans"/>
      <w:bCs/>
      <w:szCs w:val="22"/>
    </w:rPr>
  </w:style>
  <w:style w:type="paragraph" w:styleId="TOC3">
    <w:name w:val="toc 3"/>
    <w:basedOn w:val="Normal"/>
    <w:next w:val="Normal"/>
    <w:autoRedefine/>
    <w:uiPriority w:val="39"/>
    <w:unhideWhenUsed/>
    <w:rsid w:val="009B298A"/>
    <w:pPr>
      <w:ind w:left="440"/>
    </w:pPr>
    <w:rPr>
      <w:rFonts w:ascii="Gill Sans" w:hAnsi="Gill Sans"/>
      <w:szCs w:val="22"/>
    </w:rPr>
  </w:style>
  <w:style w:type="paragraph" w:styleId="TOC4">
    <w:name w:val="toc 4"/>
    <w:basedOn w:val="Normal"/>
    <w:next w:val="Normal"/>
    <w:autoRedefine/>
    <w:uiPriority w:val="39"/>
    <w:unhideWhenUsed/>
    <w:rsid w:val="009B298A"/>
    <w:pPr>
      <w:ind w:left="660"/>
    </w:pPr>
    <w:rPr>
      <w:rFonts w:ascii="Gill Sans" w:hAnsi="Gill Sans"/>
      <w:szCs w:val="20"/>
    </w:rPr>
  </w:style>
  <w:style w:type="paragraph" w:styleId="TOC8">
    <w:name w:val="toc 8"/>
    <w:basedOn w:val="Normal"/>
    <w:next w:val="Normal"/>
    <w:autoRedefine/>
    <w:uiPriority w:val="39"/>
    <w:unhideWhenUsed/>
    <w:rsid w:val="009B298A"/>
    <w:pPr>
      <w:ind w:left="1540"/>
    </w:pPr>
    <w:rPr>
      <w:rFonts w:ascii="Gill Sans" w:hAnsi="Gill Sans"/>
      <w:sz w:val="20"/>
      <w:szCs w:val="20"/>
    </w:rPr>
  </w:style>
  <w:style w:type="paragraph" w:styleId="TOC9">
    <w:name w:val="toc 9"/>
    <w:basedOn w:val="Normal"/>
    <w:next w:val="Normal"/>
    <w:autoRedefine/>
    <w:uiPriority w:val="39"/>
    <w:unhideWhenUsed/>
    <w:rsid w:val="009B298A"/>
    <w:pPr>
      <w:ind w:left="1760"/>
    </w:pPr>
    <w:rPr>
      <w:rFonts w:ascii="Gill Sans" w:hAnsi="Gill Sans"/>
      <w:sz w:val="20"/>
      <w:szCs w:val="20"/>
    </w:rPr>
  </w:style>
  <w:style w:type="character" w:customStyle="1" w:styleId="Heading1Char">
    <w:name w:val="Heading 1 Char"/>
    <w:basedOn w:val="DefaultParagraphFont"/>
    <w:link w:val="Heading1"/>
    <w:uiPriority w:val="9"/>
    <w:rsid w:val="00542DCF"/>
    <w:rPr>
      <w:rFonts w:ascii="Object Sans Heavy" w:eastAsiaTheme="majorEastAsia" w:hAnsi="Object Sans Heavy" w:cstheme="majorBidi"/>
      <w:b/>
      <w:color w:val="000000" w:themeColor="text1"/>
      <w:sz w:val="28"/>
      <w:szCs w:val="32"/>
    </w:rPr>
  </w:style>
  <w:style w:type="paragraph" w:styleId="TOCHeading">
    <w:name w:val="TOC Heading"/>
    <w:basedOn w:val="Heading1"/>
    <w:next w:val="Normal"/>
    <w:autoRedefine/>
    <w:uiPriority w:val="39"/>
    <w:unhideWhenUsed/>
    <w:qFormat/>
    <w:rsid w:val="009B298A"/>
    <w:pPr>
      <w:spacing w:before="480" w:line="276" w:lineRule="auto"/>
      <w:outlineLvl w:val="9"/>
    </w:pPr>
    <w:rPr>
      <w:rFonts w:ascii="Gill Sans" w:hAnsi="Gill Sans"/>
      <w:b w:val="0"/>
      <w:bCs/>
      <w:szCs w:val="28"/>
      <w:lang w:val="en-US"/>
    </w:rPr>
  </w:style>
  <w:style w:type="paragraph" w:styleId="Header">
    <w:name w:val="header"/>
    <w:basedOn w:val="Normal"/>
    <w:link w:val="HeaderChar"/>
    <w:uiPriority w:val="99"/>
    <w:unhideWhenUsed/>
    <w:rsid w:val="007D4334"/>
    <w:pPr>
      <w:tabs>
        <w:tab w:val="center" w:pos="4680"/>
        <w:tab w:val="right" w:pos="9360"/>
      </w:tabs>
    </w:pPr>
  </w:style>
  <w:style w:type="character" w:customStyle="1" w:styleId="HeaderChar">
    <w:name w:val="Header Char"/>
    <w:basedOn w:val="DefaultParagraphFont"/>
    <w:link w:val="Header"/>
    <w:uiPriority w:val="99"/>
    <w:rsid w:val="007D4334"/>
  </w:style>
  <w:style w:type="paragraph" w:styleId="Footer">
    <w:name w:val="footer"/>
    <w:basedOn w:val="Normal"/>
    <w:link w:val="FooterChar"/>
    <w:uiPriority w:val="99"/>
    <w:unhideWhenUsed/>
    <w:rsid w:val="007D4334"/>
    <w:pPr>
      <w:tabs>
        <w:tab w:val="center" w:pos="4680"/>
        <w:tab w:val="right" w:pos="9360"/>
      </w:tabs>
    </w:pPr>
  </w:style>
  <w:style w:type="character" w:customStyle="1" w:styleId="FooterChar">
    <w:name w:val="Footer Char"/>
    <w:basedOn w:val="DefaultParagraphFont"/>
    <w:link w:val="Footer"/>
    <w:uiPriority w:val="99"/>
    <w:rsid w:val="007D4334"/>
  </w:style>
  <w:style w:type="table" w:styleId="TableGrid">
    <w:name w:val="Table Grid"/>
    <w:basedOn w:val="TableNormal"/>
    <w:uiPriority w:val="39"/>
    <w:rsid w:val="000A0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42DCF"/>
    <w:rPr>
      <w:rFonts w:ascii="Object Sans Heavy" w:eastAsiaTheme="majorEastAsia" w:hAnsi="Object Sans Heavy" w:cstheme="majorBidi"/>
      <w:b/>
      <w:color w:val="000000" w:themeColor="text1"/>
      <w:szCs w:val="26"/>
    </w:rPr>
  </w:style>
  <w:style w:type="paragraph" w:styleId="ListParagraph">
    <w:name w:val="List Paragraph"/>
    <w:basedOn w:val="Normal"/>
    <w:uiPriority w:val="34"/>
    <w:qFormat/>
    <w:rsid w:val="0025084B"/>
    <w:pPr>
      <w:ind w:left="720"/>
      <w:contextualSpacing/>
    </w:pPr>
    <w:rPr>
      <w:rFonts w:asciiTheme="minorHAnsi" w:hAnsiTheme="minorHAnsi"/>
      <w:sz w:val="24"/>
    </w:rPr>
  </w:style>
  <w:style w:type="paragraph" w:styleId="Revision">
    <w:name w:val="Revision"/>
    <w:hidden/>
    <w:uiPriority w:val="99"/>
    <w:semiHidden/>
    <w:rsid w:val="009E2934"/>
    <w:rPr>
      <w:rFonts w:ascii="Object Sans" w:hAnsi="Object Sans"/>
      <w:sz w:val="22"/>
    </w:rPr>
  </w:style>
  <w:style w:type="character" w:styleId="CommentReference">
    <w:name w:val="annotation reference"/>
    <w:basedOn w:val="DefaultParagraphFont"/>
    <w:uiPriority w:val="99"/>
    <w:semiHidden/>
    <w:unhideWhenUsed/>
    <w:rsid w:val="006727FE"/>
    <w:rPr>
      <w:sz w:val="16"/>
      <w:szCs w:val="16"/>
    </w:rPr>
  </w:style>
  <w:style w:type="paragraph" w:styleId="CommentText">
    <w:name w:val="annotation text"/>
    <w:basedOn w:val="Normal"/>
    <w:link w:val="CommentTextChar"/>
    <w:uiPriority w:val="99"/>
    <w:semiHidden/>
    <w:unhideWhenUsed/>
    <w:rsid w:val="006727FE"/>
    <w:rPr>
      <w:sz w:val="20"/>
      <w:szCs w:val="20"/>
    </w:rPr>
  </w:style>
  <w:style w:type="character" w:customStyle="1" w:styleId="CommentTextChar">
    <w:name w:val="Comment Text Char"/>
    <w:basedOn w:val="DefaultParagraphFont"/>
    <w:link w:val="CommentText"/>
    <w:uiPriority w:val="99"/>
    <w:semiHidden/>
    <w:rsid w:val="006727FE"/>
    <w:rPr>
      <w:rFonts w:ascii="Object Sans" w:hAnsi="Object Sans"/>
      <w:sz w:val="20"/>
      <w:szCs w:val="20"/>
    </w:rPr>
  </w:style>
  <w:style w:type="paragraph" w:styleId="CommentSubject">
    <w:name w:val="annotation subject"/>
    <w:basedOn w:val="CommentText"/>
    <w:next w:val="CommentText"/>
    <w:link w:val="CommentSubjectChar"/>
    <w:uiPriority w:val="99"/>
    <w:semiHidden/>
    <w:unhideWhenUsed/>
    <w:rsid w:val="006727FE"/>
    <w:rPr>
      <w:b/>
      <w:bCs/>
    </w:rPr>
  </w:style>
  <w:style w:type="character" w:customStyle="1" w:styleId="CommentSubjectChar">
    <w:name w:val="Comment Subject Char"/>
    <w:basedOn w:val="CommentTextChar"/>
    <w:link w:val="CommentSubject"/>
    <w:uiPriority w:val="99"/>
    <w:semiHidden/>
    <w:rsid w:val="006727FE"/>
    <w:rPr>
      <w:rFonts w:ascii="Object Sans" w:hAnsi="Object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4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ill Sans"/>
                <a:ea typeface="+mn-ea"/>
                <a:cs typeface="+mn-cs"/>
              </a:defRPr>
            </a:pPr>
            <a:r>
              <a:rPr lang="en-US"/>
              <a:t>Minimum CPD hours per category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ill Sans"/>
              <a:ea typeface="+mn-ea"/>
              <a:cs typeface="+mn-cs"/>
            </a:defRPr>
          </a:pPr>
          <a:endParaRPr lang="en-US"/>
        </a:p>
      </c:txPr>
    </c:title>
    <c:autoTitleDeleted val="0"/>
    <c:plotArea>
      <c:layout/>
      <c:pieChart>
        <c:varyColors val="1"/>
        <c:ser>
          <c:idx val="0"/>
          <c:order val="0"/>
          <c:tx>
            <c:strRef>
              <c:f>Sheet1!$B$1</c:f>
              <c:strCache>
                <c:ptCount val="1"/>
                <c:pt idx="0">
                  <c:v>Minimum CPD Hours per Category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AE0-244A-A0AC-71840E35A5B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AE0-244A-A0AC-71840E35A5B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AE0-244A-A0AC-71840E35A5B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AE0-244A-A0AC-71840E35A5B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AE0-244A-A0AC-71840E35A5B7}"/>
              </c:ext>
            </c:extLst>
          </c:dPt>
          <c:dLbls>
            <c:dLbl>
              <c:idx val="2"/>
              <c:layout>
                <c:manualLayout>
                  <c:x val="-7.7332859434237386E-2"/>
                  <c:y val="-4.2287526559180035E-2"/>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3.138888888888889E-2"/>
                      <c:h val="8.3273965754280699E-2"/>
                    </c:manualLayout>
                  </c15:layout>
                </c:ext>
                <c:ext xmlns:c16="http://schemas.microsoft.com/office/drawing/2014/chart" uri="{C3380CC4-5D6E-409C-BE32-E72D297353CC}">
                  <c16:uniqueId val="{00000005-FAE0-244A-A0AC-71840E35A5B7}"/>
                </c:ext>
              </c:extLst>
            </c:dLbl>
            <c:dLbl>
              <c:idx val="4"/>
              <c:delete val="1"/>
              <c:extLst>
                <c:ext xmlns:c15="http://schemas.microsoft.com/office/drawing/2012/chart" uri="{CE6537A1-D6FC-4f65-9D91-7224C49458BB}"/>
                <c:ext xmlns:c16="http://schemas.microsoft.com/office/drawing/2014/chart" uri="{C3380CC4-5D6E-409C-BE32-E72D297353CC}">
                  <c16:uniqueId val="{00000009-FAE0-244A-A0AC-71840E35A5B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ill Sans"/>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Technical Competence</c:v>
                </c:pt>
                <c:pt idx="1">
                  <c:v>Client Care &amp; Practice</c:v>
                </c:pt>
                <c:pt idx="2">
                  <c:v>Regulatory Compliance &amp; Consumer Protection</c:v>
                </c:pt>
                <c:pt idx="3">
                  <c:v>Professionalism &amp; Ethics</c:v>
                </c:pt>
                <c:pt idx="4">
                  <c:v>General</c:v>
                </c:pt>
              </c:strCache>
            </c:strRef>
          </c:cat>
          <c:val>
            <c:numRef>
              <c:f>Sheet1!$B$2:$B$6</c:f>
              <c:numCache>
                <c:formatCode>General</c:formatCode>
                <c:ptCount val="5"/>
                <c:pt idx="0">
                  <c:v>5</c:v>
                </c:pt>
                <c:pt idx="1">
                  <c:v>5</c:v>
                </c:pt>
                <c:pt idx="2">
                  <c:v>5</c:v>
                </c:pt>
                <c:pt idx="3">
                  <c:v>9</c:v>
                </c:pt>
                <c:pt idx="4">
                  <c:v>16</c:v>
                </c:pt>
              </c:numCache>
            </c:numRef>
          </c:val>
          <c:extLst>
            <c:ext xmlns:c16="http://schemas.microsoft.com/office/drawing/2014/chart" uri="{C3380CC4-5D6E-409C-BE32-E72D297353CC}">
              <c16:uniqueId val="{0000000A-FAE0-244A-A0AC-71840E35A5B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ill Sans"/>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Gill San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nePlaceMail Email" ma:contentTypeID="0x01010060BF660B169EE04ABAF45D45AAA341120098D751706ECA3A48A80BE84AF1EDD1A3" ma:contentTypeVersion="11" ma:contentTypeDescription="" ma:contentTypeScope="" ma:versionID="0b7c8015476d53a26fd1df6784e57a77">
  <xsd:schema xmlns:xsd="http://www.w3.org/2001/XMLSchema" xmlns:xs="http://www.w3.org/2001/XMLSchema" xmlns:p="http://schemas.microsoft.com/office/2006/metadata/properties" xmlns:ns2="663c71a7-d3f8-4f2b-978b-2669533dffce" xmlns:ns3="c21a8953-54b6-432f-885c-921d09a9d3b0" targetNamespace="http://schemas.microsoft.com/office/2006/metadata/properties" ma:root="true" ma:fieldsID="8166844dfac6db71f6b31cc34dbf4be3" ns2:_="" ns3:_="">
    <xsd:import namespace="663c71a7-d3f8-4f2b-978b-2669533dffce"/>
    <xsd:import namespace="c21a8953-54b6-432f-885c-921d09a9d3b0"/>
    <xsd:element name="properties">
      <xsd:complexType>
        <xsd:sequence>
          <xsd:element name="documentManagement">
            <xsd:complexType>
              <xsd:all>
                <xsd:element ref="ns2:EmAttachCount" minOccurs="0"/>
                <xsd:element ref="ns2:EmAttachmentNames" minOccurs="0"/>
                <xsd:element ref="ns2:EmCC" minOccurs="0"/>
                <xsd:element ref="ns2:EmFromSMTPAddress" minOccurs="0"/>
                <xsd:element ref="ns2:EmHasAttachments" minOccurs="0"/>
                <xsd:element ref="ns2:EmSubject" minOccurs="0"/>
                <xsd:element ref="ns2:EmTo" minOccurs="0"/>
                <xsd:element ref="ns2:EmID" minOccurs="0"/>
                <xsd:element ref="ns2:EmBCC" minOccurs="0"/>
                <xsd:element ref="ns2:EmFrom" minOccurs="0"/>
                <xsd:element ref="ns2:DocCreatedSaved" minOccurs="0"/>
                <xsd:element ref="ns2:DocModifiedSaved"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c71a7-d3f8-4f2b-978b-2669533dffce" elementFormDefault="qualified">
    <xsd:import namespace="http://schemas.microsoft.com/office/2006/documentManagement/types"/>
    <xsd:import namespace="http://schemas.microsoft.com/office/infopath/2007/PartnerControls"/>
    <xsd:element name="EmAttachCount" ma:index="8" nillable="true" ma:displayName="EmAttachCount" ma:internalName="EmAttachCount">
      <xsd:simpleType>
        <xsd:restriction base="dms:Text">
          <xsd:maxLength value="255"/>
        </xsd:restriction>
      </xsd:simpleType>
    </xsd:element>
    <xsd:element name="EmAttachmentNames" ma:index="9" nillable="true" ma:displayName="EmAttachmentNames" ma:internalName="EmAttachmentNames">
      <xsd:simpleType>
        <xsd:restriction base="dms:Note">
          <xsd:maxLength value="255"/>
        </xsd:restriction>
      </xsd:simpleType>
    </xsd:element>
    <xsd:element name="EmCC" ma:index="10" nillable="true" ma:displayName="EmCC" ma:internalName="EmCC">
      <xsd:simpleType>
        <xsd:restriction base="dms:Note">
          <xsd:maxLength value="255"/>
        </xsd:restriction>
      </xsd:simpleType>
    </xsd:element>
    <xsd:element name="EmFromSMTPAddress" ma:index="11" nillable="true" ma:displayName="EmFromSMTPAddress" ma:internalName="EmFromSMTPAddress">
      <xsd:simpleType>
        <xsd:restriction base="dms:Note">
          <xsd:maxLength value="255"/>
        </xsd:restriction>
      </xsd:simpleType>
    </xsd:element>
    <xsd:element name="EmHasAttachments" ma:index="12" nillable="true" ma:displayName="EmHasAttachments" ma:default="1" ma:internalName="EmHasAttachments">
      <xsd:simpleType>
        <xsd:restriction base="dms:Boolean"/>
      </xsd:simpleType>
    </xsd:element>
    <xsd:element name="EmSubject" ma:index="13" nillable="true" ma:displayName="EmSubject" ma:internalName="EmSubject">
      <xsd:simpleType>
        <xsd:restriction base="dms:Text">
          <xsd:maxLength value="255"/>
        </xsd:restriction>
      </xsd:simpleType>
    </xsd:element>
    <xsd:element name="EmTo" ma:index="14" nillable="true" ma:displayName="EmTo" ma:internalName="EmTo">
      <xsd:simpleType>
        <xsd:restriction base="dms:Note">
          <xsd:maxLength value="255"/>
        </xsd:restriction>
      </xsd:simpleType>
    </xsd:element>
    <xsd:element name="EmID" ma:index="15" nillable="true" ma:displayName="EmID" ma:internalName="EmID">
      <xsd:simpleType>
        <xsd:restriction base="dms:Text">
          <xsd:maxLength value="255"/>
        </xsd:restriction>
      </xsd:simpleType>
    </xsd:element>
    <xsd:element name="EmBCC" ma:index="16" nillable="true" ma:displayName="EmBCC" ma:internalName="EmBCC">
      <xsd:simpleType>
        <xsd:restriction base="dms:Note">
          <xsd:maxLength value="255"/>
        </xsd:restriction>
      </xsd:simpleType>
    </xsd:element>
    <xsd:element name="EmFrom" ma:index="17" nillable="true" ma:displayName="EmFrom" ma:internalName="EmFrom">
      <xsd:simpleType>
        <xsd:restriction base="dms:Text">
          <xsd:maxLength value="255"/>
        </xsd:restriction>
      </xsd:simpleType>
    </xsd:element>
    <xsd:element name="DocCreatedSaved" ma:index="18" nillable="true" ma:displayName="DocCreatedSaved" ma:format="DateOnly" ma:internalName="DocCreatedSaved">
      <xsd:simpleType>
        <xsd:restriction base="dms:DateTime"/>
      </xsd:simpleType>
    </xsd:element>
    <xsd:element name="DocModifiedSaved" ma:index="19" nillable="true" ma:displayName="DocModifiedSaved" ma:format="DateOnly" ma:internalName="DocModifiedSaved">
      <xsd:simpleType>
        <xsd:restriction base="dms:DateTime"/>
      </xsd:simpleType>
    </xsd:element>
    <xsd:element name="TaxCatchAll" ma:index="22" nillable="true" ma:displayName="Taxonomy Catch All Column" ma:hidden="true" ma:list="{a226c704-06a5-4bb2-ac44-1fb8c4578439}" ma:internalName="TaxCatchAll" ma:showField="CatchAllData" ma:web="663c71a7-d3f8-4f2b-978b-2669533dff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1a8953-54b6-432f-885c-921d09a9d3b0" elementFormDefault="qualified">
    <xsd:import namespace="http://schemas.microsoft.com/office/2006/documentManagement/types"/>
    <xsd:import namespace="http://schemas.microsoft.com/office/infopath/2007/PartnerControls"/>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7d04f8-819b-4da6-987d-51c4e9b832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63c71a7-d3f8-4f2b-978b-2669533dffce" xsi:nil="true"/>
    <lcf76f155ced4ddcb4097134ff3c332f xmlns="c21a8953-54b6-432f-885c-921d09a9d3b0">
      <Terms xmlns="http://schemas.microsoft.com/office/infopath/2007/PartnerControls"/>
    </lcf76f155ced4ddcb4097134ff3c332f>
    <EmTo xmlns="663c71a7-d3f8-4f2b-978b-2669533dffce" xsi:nil="true"/>
    <DocCreatedSaved xmlns="663c71a7-d3f8-4f2b-978b-2669533dffce" xsi:nil="true"/>
    <EmFromSMTPAddress xmlns="663c71a7-d3f8-4f2b-978b-2669533dffce" xsi:nil="true"/>
    <EmFrom xmlns="663c71a7-d3f8-4f2b-978b-2669533dffce" xsi:nil="true"/>
    <EmSubject xmlns="663c71a7-d3f8-4f2b-978b-2669533dffce" xsi:nil="true"/>
    <EmCC xmlns="663c71a7-d3f8-4f2b-978b-2669533dffce" xsi:nil="true"/>
    <EmAttachmentNames xmlns="663c71a7-d3f8-4f2b-978b-2669533dffce" xsi:nil="true"/>
    <EmHasAttachments xmlns="663c71a7-d3f8-4f2b-978b-2669533dffce">true</EmHasAttachments>
    <EmAttachCount xmlns="663c71a7-d3f8-4f2b-978b-2669533dffce" xsi:nil="true"/>
    <EmID xmlns="663c71a7-d3f8-4f2b-978b-2669533dffce" xsi:nil="true"/>
    <EmBCC xmlns="663c71a7-d3f8-4f2b-978b-2669533dffce" xsi:nil="true"/>
    <DocModifiedSaved xmlns="663c71a7-d3f8-4f2b-978b-2669533dffc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92120B-FDCC-4FEF-A6E7-4FFF3416C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c71a7-d3f8-4f2b-978b-2669533dffce"/>
    <ds:schemaRef ds:uri="c21a8953-54b6-432f-885c-921d09a9d3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A49C90-A313-4EA2-8250-31C1BD3C5D45}">
  <ds:schemaRefs>
    <ds:schemaRef ds:uri="http://schemas.microsoft.com/office/2006/metadata/properties"/>
    <ds:schemaRef ds:uri="http://schemas.microsoft.com/office/infopath/2007/PartnerControls"/>
    <ds:schemaRef ds:uri="663c71a7-d3f8-4f2b-978b-2669533dffce"/>
    <ds:schemaRef ds:uri="c21a8953-54b6-432f-885c-921d09a9d3b0"/>
  </ds:schemaRefs>
</ds:datastoreItem>
</file>

<file path=customXml/itemProps3.xml><?xml version="1.0" encoding="utf-8"?>
<ds:datastoreItem xmlns:ds="http://schemas.openxmlformats.org/officeDocument/2006/customXml" ds:itemID="{693EA9AF-7973-804C-9CEC-5BE746B5D4B5}">
  <ds:schemaRefs>
    <ds:schemaRef ds:uri="http://schemas.openxmlformats.org/officeDocument/2006/bibliography"/>
  </ds:schemaRefs>
</ds:datastoreItem>
</file>

<file path=customXml/itemProps4.xml><?xml version="1.0" encoding="utf-8"?>
<ds:datastoreItem xmlns:ds="http://schemas.openxmlformats.org/officeDocument/2006/customXml" ds:itemID="{79B4E087-DEFB-4A54-A149-DCB8F0B133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1058</Words>
  <Characters>6032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Meghann Cannon</dc:creator>
  <cp:keywords/>
  <dc:description/>
  <cp:lastModifiedBy>James Burgess</cp:lastModifiedBy>
  <cp:revision>1</cp:revision>
  <dcterms:created xsi:type="dcterms:W3CDTF">2026-09-07T02:17:00Z</dcterms:created>
  <dcterms:modified xsi:type="dcterms:W3CDTF">2026-09-07T02:17:00Z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0x01010060BF660B169EE04ABAF45D45AAA341120098D751706ECA3A48A80BE84AF1EDD1A3</vt:lpwstr>
  </property>
  <property fmtid="{D5CDD505-2E9C-101B-9397-08002B2CF9AE}" pid="3" name="Order">
    <vt:r8>531900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_ExtendedDescription">
    <vt:lpwstr/>
  </property>
  <property fmtid="{D5CDD505-2E9C-101B-9397-08002B2CF9AE}" pid="12" name="TriggerFlowInfo">
    <vt:lpwstr/>
  </property>
  <property fmtid="{D5CDD505-2E9C-101B-9397-08002B2CF9AE}" pid="13" name="SharedWithUsers">
    <vt:lpwstr/>
  </property>
</Properties>
</file>